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深汕特别合作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区义务教育阶段学校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积分入学分值标准</w:t>
      </w:r>
    </w:p>
    <w:p>
      <w:pPr>
        <w:spacing w:line="56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仅适合南外（集团）深汕西中心学校2021年义务教育阶段秋季招生使用</w:t>
      </w:r>
      <w:r>
        <w:rPr>
          <w:rFonts w:hint="eastAsia"/>
          <w:sz w:val="24"/>
          <w:szCs w:val="28"/>
        </w:rPr>
        <w:t>）</w:t>
      </w:r>
    </w:p>
    <w:p>
      <w:pPr>
        <w:spacing w:line="560" w:lineRule="exact"/>
        <w:rPr>
          <w:rFonts w:hint="default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w w:val="100"/>
        </w:rPr>
      </w:pPr>
      <w:r>
        <w:rPr>
          <w:rFonts w:hint="default" w:ascii="黑体" w:hAnsi="黑体" w:eastAsia="黑体" w:cs="黑体"/>
          <w:color w:val="auto"/>
          <w:spacing w:val="0"/>
          <w:w w:val="100"/>
        </w:rPr>
        <w:t>一、基础分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w w:val="100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en-US" w:bidi="ar-SA"/>
        </w:rPr>
        <w:t>学位申请人（特指申请入学的适龄儿童、小学毕业生及申请转学插班的学生，下同）及其父母（特指学位申请人的父亲、母亲或其法定监护人，下同）户籍、居住证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 w:bidi="ar-SA"/>
        </w:rPr>
        <w:t>（明）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en-US" w:bidi="ar-SA"/>
        </w:rPr>
        <w:t>对应分值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1.学位申请人是深圳户籍人口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含深汕特别合作区户籍，下同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2.学位申请人属于非深圳户籍人口（含港澳籍），具体分4类：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:父母一方是深户，另一方持有有效居住证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（含父母均为深户）——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:父母为非深户但均持有有效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合作区内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居住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:父母一方为深户或持有有效居住证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，另一方为非深户且未持有有效居住证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——0分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:父母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或父母一方是非深户，且父母双方或一方为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享受政府相关政策优惠人员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（二）学位申请人及家庭用于申请学位的房产情况对应分值</w:t>
      </w:r>
      <w:r>
        <w:rPr>
          <w:rFonts w:hint="eastAsia" w:ascii="楷体" w:hAnsi="楷体" w:eastAsia="楷体" w:cs="楷体"/>
          <w:color w:val="auto"/>
          <w:spacing w:val="0"/>
          <w:w w:val="100"/>
          <w:lang w:eastAsia="zh-CN"/>
        </w:rPr>
        <w:t>（</w:t>
      </w:r>
      <w:r>
        <w:rPr>
          <w:rFonts w:hint="eastAsia"/>
          <w:color w:val="auto"/>
          <w:sz w:val="32"/>
          <w:szCs w:val="36"/>
          <w:lang w:val="en-US" w:eastAsia="zh-CN"/>
        </w:rPr>
        <w:t>用于申请学位的房产持有人必须为学位申请人父母或法定监护人</w:t>
      </w:r>
      <w:r>
        <w:rPr>
          <w:rFonts w:hint="eastAsia" w:ascii="楷体" w:hAnsi="楷体" w:eastAsia="楷体" w:cs="楷体"/>
          <w:color w:val="auto"/>
          <w:spacing w:val="0"/>
          <w:w w:val="10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1.学区内购房具体分为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A:购房（2021年4月30日前购房）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含申请入读学生的祖父母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外祖父母购房，且业主与学生全家的户口在一起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）——40分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B:自建房（需提供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房产证或村委、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街道办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、住建局等相关部门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证明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房屋无违建记录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）——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en-US" w:bidi="ar-SA"/>
        </w:rPr>
        <w:t>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2.学区内租房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分为2类：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在合作区单位宿舍居住（需提供单位分房相关文件及居住证明）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D:租房（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根据我区住房学位锁定规定，该住房申请义务教育阶段公办学校学位成功后，在规定时间内（小学6年；初中3年）不能用于申请义务教育阶段公办学位。</w:t>
      </w:r>
      <w:r>
        <w:rPr>
          <w:rFonts w:hint="eastAsia" w:ascii="仿宋_GB2312" w:hAnsi="仿宋_GB2312" w:eastAsia="仿宋_GB2312" w:cs="仿宋_GB2312"/>
          <w:sz w:val="32"/>
          <w:szCs w:val="36"/>
        </w:rPr>
        <w:t>必须在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日前签订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且合同有效期至少延续至202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6"/>
        </w:rPr>
        <w:t>后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房屋无违建记录，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需提供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租房合同、租金、水电费缴纳凭证或街道办、村委等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凭证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）——18分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（三）学位申请人父母在深圳或海丰县缴纳社会保险情况对应分值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特别提示：学位申请人父母在深圳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或海丰县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缴纳社会保险特指其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同时缴纳养老保险和医疗保险。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.学位申请人为深圳户籍——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0分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.非深圳户籍学位申请人，分为2类：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A：学位申请人父母均在深圳或海丰县缴纳社保，且申请入学时其社保卡具备有效使用功能（单亲家庭按双社保计分，但需查验相关法定证件或文书）——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0分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B：学位申请人父母其中一方在深圳或海丰县缴纳社保，且申请入学时其社保卡具备有效使用功能——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w w:val="100"/>
        </w:rPr>
      </w:pPr>
      <w:r>
        <w:rPr>
          <w:rFonts w:hint="default" w:ascii="黑体" w:hAnsi="黑体" w:eastAsia="黑体" w:cs="黑体"/>
          <w:color w:val="auto"/>
          <w:spacing w:val="0"/>
          <w:w w:val="100"/>
        </w:rPr>
        <w:t>二、加分项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pacing w:val="0"/>
          <w:w w:val="100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（一）计生加分项：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学位申请人为独生子女，加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/>
          <w:color w:val="auto"/>
          <w:spacing w:val="0"/>
          <w:w w:val="100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</w:rPr>
        <w:t>（二）</w:t>
      </w:r>
      <w:r>
        <w:rPr>
          <w:rFonts w:hint="eastAsia" w:ascii="楷体" w:hAnsi="楷体" w:eastAsia="楷体" w:cs="楷体"/>
          <w:color w:val="auto"/>
          <w:spacing w:val="0"/>
          <w:w w:val="100"/>
          <w:lang w:val="en-US" w:eastAsia="zh-CN"/>
        </w:rPr>
        <w:t>学位申请人父母在合作区工作时长加分项：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学位申请人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父母或父母一方入职深汕特别合作区引进高新企业及事业单位时间，以家庭为单位</w:t>
      </w:r>
      <w:r>
        <w:rPr>
          <w:rFonts w:hint="eastAsia" w:ascii="仿宋_GB2312" w:hAnsi="仿宋_GB2312" w:eastAsia="仿宋_GB2312" w:cs="仿宋_GB2312"/>
          <w:color w:val="auto"/>
        </w:rPr>
        <w:t>每满1年加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</w:rPr>
        <w:t>分，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不足一年</w:t>
      </w:r>
      <w:r>
        <w:rPr>
          <w:rFonts w:hint="eastAsia" w:ascii="仿宋_GB2312" w:hAnsi="仿宋_GB2312" w:eastAsia="仿宋_GB2312" w:cs="仿宋_GB2312"/>
          <w:color w:val="auto"/>
        </w:rPr>
        <w:t>加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最高加分不超过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</w:rPr>
        <w:t>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 w:firstLineChars="0"/>
        <w:jc w:val="left"/>
        <w:textAlignment w:val="auto"/>
        <w:rPr>
          <w:rFonts w:hint="eastAsia"/>
          <w:color w:val="auto"/>
        </w:rPr>
      </w:pPr>
    </w:p>
    <w:tbl>
      <w:tblPr>
        <w:tblStyle w:val="5"/>
        <w:tblW w:w="82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817"/>
        <w:gridCol w:w="5478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深汕特别合作区202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年公办学校入学积分表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积分类别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积分项目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基础分：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户籍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深户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学位申请人是深圳户籍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非深户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父母一方是深户，另一方持有有效居住证</w:t>
            </w:r>
            <w:r>
              <w:rPr>
                <w:rFonts w:hint="eastAsia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eastAsia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（含父母均为深户）</w:t>
            </w:r>
            <w:r>
              <w:rPr>
                <w:rFonts w:hint="eastAsia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:父母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为非深户但均持有有效合作区内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居住证（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:父母一方为深户或持有有效居住证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，另一方为非深户且未持有有效居住证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:父母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或父母一方是非深户，且父母双方或一方为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享受政府相关政策优惠人员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基础分：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住房情况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购房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A:购房（202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日前购房），（含申请入读学生的祖父母、外祖父母购房，且业主与学生全家的户口在一起）。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B:自建房（需提供房产证或村委、街道办、住建局等相关部门证明，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房屋无违建记录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租房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C: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在合作区单位宿舍居住（需提供单位分房相关文件及居住证明）。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D: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租房（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根据我区住房学位锁定规定，该住房申请义务教育阶段公办学校学位成功后，在规定时间内（小学6年；初中3年）不能用于申请义务教育阶段公办学位。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必须在20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日前签订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且合同有效期至少延续至20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房屋无违建记录，且有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租房合同、租金、水电费缴纳凭证或街道办、村委等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凭证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基础分：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社保情况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深户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为深圳户籍。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非深户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A：学位申请人父母均在深圳或海丰县缴纳社保，且申请入学时其社保卡具备有效使用功能（单亲家庭按双社保计分，但需查验相关法定证件或文书）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</w:rPr>
              <w:t>B：学位申请人父母其中一方在深圳或海丰县缴纳社保，且申请入学时其社保卡具备有效使用功能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加分：</w:t>
            </w:r>
          </w:p>
          <w:p>
            <w:pPr>
              <w:spacing w:after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计生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学位申请人为独生子女。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加分：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合作区工作时长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学位申请人父母或父母一方入职深汕特别合作区引进高新企业、事业单位时间，（以家庭为单位，每满1年加6分，不足一年加4分，最高加分不超过18分。）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 w:firstLineChars="0"/>
        <w:jc w:val="left"/>
        <w:textAlignment w:val="auto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 w:firstLineChars="0"/>
        <w:jc w:val="left"/>
        <w:textAlignment w:val="auto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 w:firstLineChars="0"/>
        <w:jc w:val="left"/>
        <w:textAlignment w:val="auto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 w:firstLineChars="0"/>
        <w:jc w:val="left"/>
        <w:textAlignment w:val="auto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 w:firstLineChars="0"/>
        <w:jc w:val="left"/>
        <w:textAlignment w:val="auto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 w:firstLineChars="0"/>
        <w:jc w:val="left"/>
        <w:textAlignment w:val="auto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rFonts w:hint="default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rFonts w:hint="default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rFonts w:hint="default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rFonts w:hint="default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rFonts w:hint="default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036E"/>
    <w:rsid w:val="14C668EC"/>
    <w:rsid w:val="1E2F4EC6"/>
    <w:rsid w:val="256D6117"/>
    <w:rsid w:val="29D462DB"/>
    <w:rsid w:val="31A77F28"/>
    <w:rsid w:val="326F4DF9"/>
    <w:rsid w:val="48D54143"/>
    <w:rsid w:val="51650F44"/>
    <w:rsid w:val="54292217"/>
    <w:rsid w:val="54B942C5"/>
    <w:rsid w:val="5695768C"/>
    <w:rsid w:val="6BEA0C15"/>
    <w:rsid w:val="6F8C2335"/>
    <w:rsid w:val="75363404"/>
    <w:rsid w:val="7E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8"/>
      <w:outlineLvl w:val="0"/>
    </w:pPr>
    <w:rPr>
      <w:rFonts w:ascii="宋体" w:hAnsi="宋体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763"/>
      <w:outlineLvl w:val="1"/>
    </w:pPr>
    <w:rPr>
      <w:rFonts w:ascii="仿宋" w:hAnsi="仿宋" w:eastAsia="仿宋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2020-07-17T07:31:00Z</dcterms:created>
  <dc:creator>LinHuang</dc:creator>
  <cp:lastModifiedBy>L·H</cp:lastModifiedBy>
  <cp:lastPrinted>2021-06-10T09:16:58Z</cp:lastPrinted>
  <dcterms:modified xsi:type="dcterms:W3CDTF">2021-06-10T09:17:53Z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50DB48560D754FF5809ECAF8B9FB81B1</vt:lpwstr>
  </property>
</Properties>
</file>